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78"/>
        <w:tblW w:w="5211" w:type="dxa"/>
        <w:tblLook w:val="04A0" w:firstRow="1" w:lastRow="0" w:firstColumn="1" w:lastColumn="0" w:noHBand="0" w:noVBand="1"/>
      </w:tblPr>
      <w:tblGrid>
        <w:gridCol w:w="5211"/>
      </w:tblGrid>
      <w:tr w:rsidR="005A6A83" w:rsidRPr="005A6A83" w14:paraId="1EF036E0" w14:textId="77777777" w:rsidTr="009525B5">
        <w:tc>
          <w:tcPr>
            <w:tcW w:w="5211" w:type="dxa"/>
          </w:tcPr>
          <w:p w14:paraId="7F028689" w14:textId="77777777" w:rsidR="005A6A83" w:rsidRPr="005A6A83" w:rsidRDefault="005A6A83" w:rsidP="005A6A83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</w:rPr>
              <w:br w:type="page"/>
              <w:t xml:space="preserve">        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Приложение 1 к документации по закупке</w:t>
            </w:r>
          </w:p>
        </w:tc>
      </w:tr>
      <w:tr w:rsidR="005A6A83" w:rsidRPr="005A6A83" w14:paraId="455E98F0" w14:textId="77777777" w:rsidTr="009525B5">
        <w:tc>
          <w:tcPr>
            <w:tcW w:w="5211" w:type="dxa"/>
          </w:tcPr>
          <w:p w14:paraId="0075E1A8" w14:textId="77777777" w:rsidR="005A6A83" w:rsidRPr="005A6A83" w:rsidRDefault="005A6A83" w:rsidP="005A6A83">
            <w:pPr>
              <w:spacing w:after="0"/>
              <w:ind w:left="17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591DFDCA" w14:textId="77777777" w:rsidR="005A6A83" w:rsidRPr="005A6A83" w:rsidRDefault="005A6A83" w:rsidP="005A6A83">
      <w:pPr>
        <w:keepNext/>
        <w:spacing w:before="240" w:after="24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</w:rPr>
      </w:pPr>
    </w:p>
    <w:p w14:paraId="6E9E0213" w14:textId="77777777" w:rsidR="005A6A83" w:rsidRPr="005A6A83" w:rsidRDefault="005A6A83" w:rsidP="005A6A83">
      <w:pPr>
        <w:keepNext/>
        <w:spacing w:before="240" w:after="24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</w:rPr>
      </w:pPr>
    </w:p>
    <w:p w14:paraId="3EC28EFC" w14:textId="77777777" w:rsidR="005A6A83" w:rsidRPr="005A6A83" w:rsidRDefault="005A6A83" w:rsidP="005A6A83">
      <w:pPr>
        <w:keepNext/>
        <w:spacing w:before="240" w:after="24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</w:rPr>
      </w:pPr>
      <w:r w:rsidRPr="005A6A83">
        <w:rPr>
          <w:rFonts w:ascii="Tahoma" w:eastAsia="Times New Roman" w:hAnsi="Tahoma" w:cs="Tahoma"/>
          <w:b/>
          <w:color w:val="000000" w:themeColor="text1"/>
        </w:rPr>
        <w:t>Техническое задание</w:t>
      </w:r>
    </w:p>
    <w:p w14:paraId="48F42B98" w14:textId="77777777" w:rsidR="005A6A83" w:rsidRPr="005A6A83" w:rsidRDefault="005A6A83" w:rsidP="005A6A83">
      <w:pPr>
        <w:spacing w:after="200" w:line="276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5A6A83">
        <w:rPr>
          <w:rFonts w:ascii="Tahoma" w:eastAsia="Times New Roman" w:hAnsi="Tahoma" w:cs="Tahoma"/>
        </w:rPr>
        <w:t>На выполнение работ по установке, замене и наладке интеллектуальных приборов учета электрической энергии и трансформаторов тока для нужд Ивановского филиала АО «ЭнергосбыТ Плюс».</w:t>
      </w:r>
    </w:p>
    <w:tbl>
      <w:tblPr>
        <w:tblStyle w:val="1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5A6A83" w:rsidRPr="005A6A83" w14:paraId="24E79926" w14:textId="77777777" w:rsidTr="009525B5">
        <w:tc>
          <w:tcPr>
            <w:tcW w:w="518" w:type="dxa"/>
            <w:hideMark/>
          </w:tcPr>
          <w:p w14:paraId="5A393C16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60C2F7F9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32AFFF72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5A6A83" w:rsidRPr="005A6A83" w14:paraId="4FA842B6" w14:textId="77777777" w:rsidTr="009525B5">
        <w:trPr>
          <w:trHeight w:val="1682"/>
        </w:trPr>
        <w:tc>
          <w:tcPr>
            <w:tcW w:w="518" w:type="dxa"/>
            <w:hideMark/>
          </w:tcPr>
          <w:p w14:paraId="63EB0D63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4B6D6CDA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3FF5B186" w14:textId="77777777" w:rsidR="005A6A83" w:rsidRPr="005A6A83" w:rsidRDefault="005A6A83" w:rsidP="005A6A83">
            <w:pPr>
              <w:spacing w:after="200" w:line="276" w:lineRule="auto"/>
              <w:ind w:left="3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Выполнение работ по  установке, замене и наладке интеллектуальных приборов учёта электрической энергии (далее ПУ ИСУ) и трансформаторов тока (далее ТТ) на территории Ивановской области в городах и населенных пунктах присутствия Ивановского филиала АО «ЭнергосбыТ Плюс»</w:t>
            </w:r>
          </w:p>
        </w:tc>
      </w:tr>
      <w:tr w:rsidR="005A6A83" w:rsidRPr="005A6A83" w14:paraId="00102CB5" w14:textId="77777777" w:rsidTr="009525B5">
        <w:tc>
          <w:tcPr>
            <w:tcW w:w="518" w:type="dxa"/>
            <w:hideMark/>
          </w:tcPr>
          <w:p w14:paraId="05142294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707F2ECD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5A3360A9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Многоквартирные дома (далее МКД) находящиеся на территории Ивановской области в городах и населенных пунктах присутствия Ивановского филиала АО «ЭнергосбыТ Плюс»</w:t>
            </w:r>
          </w:p>
        </w:tc>
      </w:tr>
      <w:tr w:rsidR="005A6A83" w:rsidRPr="005A6A83" w14:paraId="2128A28A" w14:textId="77777777" w:rsidTr="009525B5">
        <w:tc>
          <w:tcPr>
            <w:tcW w:w="518" w:type="dxa"/>
            <w:hideMark/>
          </w:tcPr>
          <w:p w14:paraId="078FD228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337DF710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027C0098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6A2F7812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3A1E34DE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33DEE976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«31» декабря 2026г.</w:t>
            </w:r>
          </w:p>
          <w:p w14:paraId="09AF3248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A6A83" w:rsidRPr="005A6A83" w14:paraId="50E3A8A0" w14:textId="77777777" w:rsidTr="009525B5">
        <w:tc>
          <w:tcPr>
            <w:tcW w:w="518" w:type="dxa"/>
            <w:hideMark/>
          </w:tcPr>
          <w:p w14:paraId="2EF04C52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53ACA481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212FC3FA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соответствии с графиком производства работ (Приложение 1 к Техническому заданию), ведомостью объемов работ (Приложение 2 к Техническому заданию),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перечнем ТМЦ, передаваемых Заказчиком (Приложение 3 к Техническому заданию).</w:t>
            </w:r>
          </w:p>
          <w:p w14:paraId="407E22DD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420C5858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ТМЦ, передаваемых Заказчиком (Приложение 3 к Техническому заданию).</w:t>
            </w:r>
          </w:p>
          <w:p w14:paraId="6EA5FC8F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непригодности существующего прибора учета для коммерческих расчетов по причинам: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строя.</w:t>
            </w:r>
          </w:p>
          <w:p w14:paraId="70D6FCEC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 Заказчик вправе заменить такой объект в графике производства работ.</w:t>
            </w:r>
          </w:p>
          <w:p w14:paraId="02B1D70F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Подготовку и хранение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материалов, необходимых для выполнения работ по договору, проводить вне рабочей зоны и доставлять к зоне работ транспортом Подрядчика, готовыми к применению для выполнения работ по договору;</w:t>
            </w:r>
          </w:p>
          <w:p w14:paraId="7B940E85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должен обеспечить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работы.</w:t>
            </w:r>
          </w:p>
          <w:p w14:paraId="79FE0DBC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должен вывезти в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2261DB29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1F218319" w14:textId="77777777" w:rsidR="005A6A83" w:rsidRPr="005A6A83" w:rsidRDefault="005A6A83" w:rsidP="005A6A83">
            <w:pPr>
              <w:tabs>
                <w:tab w:val="left" w:pos="307"/>
                <w:tab w:val="left" w:pos="1134"/>
              </w:tabs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14:paraId="63AF0955" w14:textId="77777777" w:rsidR="005A6A83" w:rsidRPr="005A6A83" w:rsidRDefault="005A6A83" w:rsidP="005A6A83">
            <w:pPr>
              <w:tabs>
                <w:tab w:val="left" w:pos="1134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14:paraId="4D05E502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762F637A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Подрядчик при проведении работ несет всю полноту ответственности:</w:t>
            </w:r>
          </w:p>
          <w:p w14:paraId="130832CA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3C911F6A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266EE98B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080250A4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5BDC6092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30719556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Подрядчика).</w:t>
            </w:r>
          </w:p>
          <w:p w14:paraId="107AC4FC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организует хранение и утилизацию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5A6A83" w:rsidRPr="005A6A83" w14:paraId="7DF68857" w14:textId="77777777" w:rsidTr="009525B5">
        <w:tc>
          <w:tcPr>
            <w:tcW w:w="518" w:type="dxa"/>
            <w:hideMark/>
          </w:tcPr>
          <w:p w14:paraId="48C8DAFD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5C860615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1CA43C3B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63A76CC9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в приложении Заказчика (Мобильный контролер), создать маршрутные листы для сотрудников, выполняющих работы по замене приборов учета электрической энергии;</w:t>
            </w:r>
          </w:p>
          <w:p w14:paraId="2905548E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</w:t>
            </w:r>
          </w:p>
          <w:p w14:paraId="4C8996E3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разработать и согласовать с Заказчиком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многоквартирных домов и т.д.).</w:t>
            </w:r>
          </w:p>
          <w:p w14:paraId="556E715C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заказным письмом. В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случае необходимости, по согласованию с Заказчиком, формирует и направляет официальные письма от лица Заказчика.</w:t>
            </w:r>
          </w:p>
          <w:p w14:paraId="08FFA9AC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Подрядчику с составлением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энергии, трансформаторы тока, </w:t>
            </w:r>
            <w:r w:rsidRPr="005A6A8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-карты и пломбировочную продукцию (пломбу-наклейку)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необходимые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 для выполнения Работ. Передача интеллектуальных приборов учета электрической энергии,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трансформаторов тока,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пломбировочной продукции,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необходимых для выполнения Работ, осуществляется по адресу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: г. Иваново, ул. Смирнова, д. 11.</w:t>
            </w:r>
          </w:p>
          <w:p w14:paraId="531CD764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интеллектуальные приборы учета электрической энергии, трансформаторы тока,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-карты и пломбировочная продукция,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№ ОС-16 утвержден Постановлением Госкомстата России от 21.01.2003 №7).</w:t>
            </w:r>
          </w:p>
          <w:p w14:paraId="1480021B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Перед монтажом ПУ ИСУ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вторичной цепи ТТ путём измерения сопротивления на клеммных зажимах для исключения заводского брака и т.д.</w:t>
            </w:r>
          </w:p>
          <w:p w14:paraId="0DDD7312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039421EE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64E65743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73AEA132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 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0D6ADEAC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57ED285A" w14:textId="77777777" w:rsidR="005A6A83" w:rsidRPr="005A6A83" w:rsidRDefault="005A6A83" w:rsidP="005A6A83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 Подрядчик после завершения работ по замене, установке прибора учета электрической энергии, ТТ обязан произвести инструментальную проверку работоспособности установленного ПУ ИСУ, ТТ с фиксацией измерений в измерительных цепях в акте ввода в эксплуатацию.</w:t>
            </w:r>
          </w:p>
          <w:p w14:paraId="4031E38E" w14:textId="77777777" w:rsidR="005A6A83" w:rsidRPr="005A6A83" w:rsidRDefault="005A6A83" w:rsidP="005A6A83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установке, замене 3-х фазных ПУ и ТТ Подрядчик дополнительно к Актам ввода в эксплуатацию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на бумажном носителе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контролер), доступ к которому предоставляет Заказчик.</w:t>
            </w:r>
          </w:p>
          <w:p w14:paraId="54F396C7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установке, замене 1-ф ПУ оформления акта осуществляется через модуль Заказчика (Мобильный контролер) без необходимости составления акта на бумажном носителе. Полный объем данных по установленным ПУ ИСУ должен быть внесен в приложение в день выполнения работ.</w:t>
            </w:r>
          </w:p>
          <w:p w14:paraId="1FEC221E" w14:textId="77777777" w:rsidR="005A6A83" w:rsidRPr="005A6A83" w:rsidRDefault="005A6A83" w:rsidP="005A6A83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Номера ПУ и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 необходимо вносить путем сканирования штрих-кодов с целью избежания ошибок.</w:t>
            </w:r>
          </w:p>
          <w:p w14:paraId="40E599DD" w14:textId="77777777" w:rsidR="005A6A83" w:rsidRPr="005A6A83" w:rsidRDefault="005A6A83" w:rsidP="005A6A83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434C7945" w14:textId="77777777" w:rsidR="005A6A83" w:rsidRPr="005A6A83" w:rsidRDefault="005A6A83" w:rsidP="005A6A83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67D51891" w14:textId="77777777" w:rsidR="005A6A83" w:rsidRPr="005A6A83" w:rsidRDefault="005A6A83" w:rsidP="005A6A83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751C5DF8" w14:textId="77777777" w:rsidR="005A6A83" w:rsidRPr="005A6A83" w:rsidRDefault="005A6A83" w:rsidP="005A6A83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14:paraId="5C4DF77E" w14:textId="77777777" w:rsidR="005A6A83" w:rsidRPr="005A6A83" w:rsidRDefault="005A6A83" w:rsidP="005A6A83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-На предмет корректности настроек приборов учета.</w:t>
            </w:r>
          </w:p>
          <w:p w14:paraId="361C751D" w14:textId="77777777" w:rsidR="005A6A83" w:rsidRPr="005A6A83" w:rsidRDefault="005A6A83" w:rsidP="005A6A83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ИСУ. </w:t>
            </w:r>
          </w:p>
          <w:p w14:paraId="7CC5B94A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48625154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14:paraId="7ED6F0AF" w14:textId="77777777" w:rsidR="005A6A83" w:rsidRPr="005A6A83" w:rsidRDefault="005A6A83" w:rsidP="005A6A83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При оформлении на бумажном носителе Подрядчик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от имени Заказчика заполняет Акты ввода в эксплуатацию приборов учета электрической энергии в двух экземплярах и подписывает акты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либо направлен почтой.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контролер, информация должна быть внесена в приложение в день выполнения работ, а также в Заявку на выполнение работ.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14:paraId="16DC5C5E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Факт выполнения работ признается по данным, занесенным в акты со статусом «подписано» в модуле Заказчика - Мобильный контролер.</w:t>
            </w:r>
          </w:p>
          <w:p w14:paraId="1ED0401E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 адресе объекта и информация об установке или снятии (Пример – «г Иваново ул Смирнова д 59 кв 125 установлен» или «г Иваново ул Смирнова д 59 кв 125 снят»). Фото предоставляются Заказчику в составе приемо-сдаточной документации разделенные по каталогам в разрезе дат установок/замен.</w:t>
            </w:r>
          </w:p>
          <w:p w14:paraId="36387AB1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Хранение демонтированных приборов учета электрической энергии должно быть организованно на период не менее 90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календарных дней с момента выполнения работ по установке ПУ ИСУ. Информацию о точном адресе, где потребители в течении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2FC7B031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14:paraId="1ABF241D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монтажную ведомость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14:paraId="31D93DFC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762BB107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05335A80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1E2384D8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53AC099D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09F9C041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4D512686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14:paraId="3D3FC343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5232C059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Монтаж всех вновь устанавливаемых ПУ ИСУ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0009FC77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14:paraId="1A270473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(IEC 60529:2013) «Межгосударственный стандарт. Степени защиты, обеспечиваемые оболочками (Код IP)» в антивандальном исполнении.</w:t>
            </w:r>
          </w:p>
          <w:p w14:paraId="65E2717D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3B28BB5F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24A8EF8C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7FFAA4FF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4D98D45B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  <w:p w14:paraId="7B177B80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Трансформаторы тока по техническим характеристикам должны соответствовать требованиям ГОСТ 7746-2015 «Межгосударственный стандарт. Трансформаторы тока. Общие технические условия».</w:t>
            </w:r>
          </w:p>
          <w:p w14:paraId="4EE9D28A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7B3EC77B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Межповерочный интервал трансформаторов тока не менее 8 лет.</w:t>
            </w:r>
          </w:p>
          <w:p w14:paraId="3277A13C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327155D6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отметку в паспорте о первичной заводской поверке со сроком давностью не более 12 мес.</w:t>
            </w:r>
          </w:p>
          <w:p w14:paraId="40F6C0D1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 «Межгосударственный стандарт. Общие требования к машинам, приборам и другим техническим изделиям в части стойкости к механическим внешним воздействующим факторам при эксплуатации».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554FF61B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77A13E06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7FD572AC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3A9D327C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3BA69E95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021E8450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Приборы учета устанавливаются:</w:t>
            </w:r>
          </w:p>
          <w:p w14:paraId="67C69DCB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в этажных щитах;</w:t>
            </w:r>
          </w:p>
          <w:p w14:paraId="49A05F72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287A7C12" w14:textId="77777777" w:rsidR="005A6A83" w:rsidRPr="005A6A83" w:rsidRDefault="005A6A83" w:rsidP="005A6A83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в выносных шкафах учёта (боксах) по согласованию с Заказчиком.</w:t>
            </w:r>
          </w:p>
        </w:tc>
      </w:tr>
      <w:tr w:rsidR="005A6A83" w:rsidRPr="005A6A83" w14:paraId="2E46BEB8" w14:textId="77777777" w:rsidTr="009525B5">
        <w:tc>
          <w:tcPr>
            <w:tcW w:w="518" w:type="dxa"/>
            <w:hideMark/>
          </w:tcPr>
          <w:p w14:paraId="75D96E95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3174496F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5531F22D" w14:textId="77777777" w:rsidR="005A6A83" w:rsidRPr="005A6A83" w:rsidRDefault="005A6A83" w:rsidP="005A6A83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№421/пр,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№1046/пр ФСНБ-2022 с использованием индексов изменения сметной стоимости по группам однородных строительных ресурсов.</w:t>
            </w:r>
          </w:p>
          <w:p w14:paraId="782493CB" w14:textId="77777777" w:rsidR="005A6A83" w:rsidRPr="005A6A83" w:rsidRDefault="005A6A83" w:rsidP="005A6A83">
            <w:pPr>
              <w:widowControl w:val="0"/>
              <w:numPr>
                <w:ilvl w:val="1"/>
                <w:numId w:val="11"/>
              </w:numPr>
              <w:spacing w:after="120"/>
              <w:ind w:left="0" w:hanging="56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</w:rPr>
              <w:t>которые не должны превышать</w:t>
            </w:r>
            <w:r w:rsidRPr="005A6A83">
              <w:rPr>
                <w:rFonts w:ascii="Tahoma" w:eastAsia="Times New Roman" w:hAnsi="Tahoma" w:cs="Tahoma"/>
                <w:i/>
                <w:color w:val="000000" w:themeColor="text1"/>
                <w:sz w:val="20"/>
              </w:rPr>
              <w:t xml:space="preserve">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коэффициенты, указанные в Локально-сметных расчетах (см. приложение №3 к договору подряда)</w:t>
            </w:r>
          </w:p>
        </w:tc>
      </w:tr>
      <w:tr w:rsidR="005A6A83" w:rsidRPr="005A6A83" w14:paraId="45780CD4" w14:textId="77777777" w:rsidTr="009525B5">
        <w:tc>
          <w:tcPr>
            <w:tcW w:w="518" w:type="dxa"/>
            <w:hideMark/>
          </w:tcPr>
          <w:p w14:paraId="6B0F68F1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14:paraId="4939C60F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14:paraId="4870057D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0C8F76A9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76C7FA99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70E5AB2D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14:paraId="35E4D742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2722C6D6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14:paraId="7C32BAA2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412ED036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3BF68F18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7CDC5FA3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2D4DDAD7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1ED12FDE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5A260F3E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0123B530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51EAA8FC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3261AE61" w14:textId="77777777" w:rsidR="005A6A83" w:rsidRPr="005A6A83" w:rsidRDefault="005A6A83" w:rsidP="005A6A83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686B9494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022FEDB3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03BEB024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5A6A83" w:rsidRPr="005A6A83" w14:paraId="4622772C" w14:textId="77777777" w:rsidTr="009525B5">
        <w:tc>
          <w:tcPr>
            <w:tcW w:w="518" w:type="dxa"/>
            <w:hideMark/>
          </w:tcPr>
          <w:p w14:paraId="2990F0E2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3875CA6B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19E34D2E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14:paraId="40149D2D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71DE9B6A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03FD2A12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2243B20F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1A12A1CC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57D5D95D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42009ED9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2CDAD169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61A0762B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63E24555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7A8AB56D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365F17DA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7922C668" w14:textId="77777777" w:rsidR="005A6A83" w:rsidRPr="005A6A83" w:rsidRDefault="005A6A83" w:rsidP="005A6A83">
            <w:pPr>
              <w:tabs>
                <w:tab w:val="left" w:pos="465"/>
              </w:tabs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A6A83" w:rsidRPr="005A6A83" w14:paraId="2DEB8BAC" w14:textId="77777777" w:rsidTr="009525B5">
        <w:tc>
          <w:tcPr>
            <w:tcW w:w="518" w:type="dxa"/>
            <w:hideMark/>
          </w:tcPr>
          <w:p w14:paraId="3342A256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14:paraId="1E5A7E6F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10B11CDA" w14:textId="77777777" w:rsidR="005A6A83" w:rsidRPr="005A6A83" w:rsidRDefault="005A6A83" w:rsidP="005A6A83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Работы выполняются с использованием оборудования и материалов Подрядчика (за исключением ПУ ИСУ, ТТ, </w:t>
            </w:r>
            <w:r w:rsidRPr="005A6A8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-карт и пломбировочной продукции (пломбы-наклейки));</w:t>
            </w:r>
          </w:p>
          <w:p w14:paraId="75AC9755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7936844C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3B7E5185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780A232B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37F4303E" w14:textId="77777777" w:rsidR="005A6A83" w:rsidRPr="005A6A83" w:rsidRDefault="005A6A83" w:rsidP="005A6A83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В процессе производства Работ Подрядчиком должны использоваться новые, ранее не использованные материалы и оборудование, сертифицированные на территории Российской Федерации, и необходимые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 и/или требованиями,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установленными Федеральным законом «О техническом регулировании» от 27.12.2002г. №184-ФЗ и соответствующее требованиям Постановления Правительства РФ от 23.12.2024г. №1875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лиц», Постановление правительства РФ от 17.07.2015г. №719 «О подтверждении производства российской промышленной продукции».</w:t>
            </w:r>
          </w:p>
        </w:tc>
      </w:tr>
      <w:tr w:rsidR="005A6A83" w:rsidRPr="005A6A83" w14:paraId="1C070E2E" w14:textId="77777777" w:rsidTr="009525B5">
        <w:tc>
          <w:tcPr>
            <w:tcW w:w="518" w:type="dxa"/>
            <w:hideMark/>
          </w:tcPr>
          <w:p w14:paraId="405A1476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5ACFB793" w14:textId="77777777" w:rsidR="005A6A83" w:rsidRPr="005A6A83" w:rsidRDefault="005A6A83" w:rsidP="005A6A83">
            <w:pPr>
              <w:shd w:val="clear" w:color="auto" w:fill="FFFFFF"/>
              <w:spacing w:after="20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6DC271E5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579842D2" w14:textId="77777777" w:rsidR="005A6A83" w:rsidRPr="005A6A83" w:rsidRDefault="005A6A83" w:rsidP="005A6A83">
            <w:pPr>
              <w:widowControl w:val="0"/>
              <w:spacing w:after="120" w:line="276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14:paraId="07484A09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7B4CE347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4FB81AD8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64EABAA4" w14:textId="77777777" w:rsidR="005A6A83" w:rsidRPr="005A6A83" w:rsidRDefault="005A6A83" w:rsidP="005A6A83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5A6A83" w:rsidRPr="005A6A83" w14:paraId="201986FA" w14:textId="77777777" w:rsidTr="009525B5">
        <w:tc>
          <w:tcPr>
            <w:tcW w:w="518" w:type="dxa"/>
            <w:hideMark/>
          </w:tcPr>
          <w:p w14:paraId="55B7C411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05E9935A" w14:textId="77777777" w:rsidR="005A6A83" w:rsidRPr="005A6A83" w:rsidRDefault="005A6A83" w:rsidP="005A6A83">
            <w:pPr>
              <w:shd w:val="clear" w:color="auto" w:fill="FFFFFF"/>
              <w:spacing w:after="20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5796" w:type="dxa"/>
            <w:hideMark/>
          </w:tcPr>
          <w:p w14:paraId="6CC688A2" w14:textId="77777777" w:rsidR="005A6A83" w:rsidRPr="005A6A83" w:rsidRDefault="005A6A83" w:rsidP="005A6A83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17749DC0" w14:textId="77777777" w:rsidR="005A6A83" w:rsidRPr="005A6A83" w:rsidRDefault="005A6A83" w:rsidP="005A6A83">
            <w:pPr>
              <w:numPr>
                <w:ilvl w:val="0"/>
                <w:numId w:val="10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акты приемки выполненных Работ (форма №КС-2);</w:t>
            </w:r>
          </w:p>
          <w:p w14:paraId="6FD47BA1" w14:textId="77777777" w:rsidR="005A6A83" w:rsidRPr="005A6A83" w:rsidRDefault="005A6A83" w:rsidP="005A6A83">
            <w:pPr>
              <w:widowControl w:val="0"/>
              <w:spacing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локальные сметы к актам о приемке выполненных работ;</w:t>
            </w:r>
          </w:p>
          <w:p w14:paraId="4597C81F" w14:textId="77777777" w:rsidR="005A6A83" w:rsidRPr="005A6A83" w:rsidRDefault="005A6A83" w:rsidP="005A6A83">
            <w:pPr>
              <w:tabs>
                <w:tab w:val="left" w:pos="307"/>
              </w:tabs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6AE5382F" w14:textId="77777777" w:rsidR="005A6A83" w:rsidRPr="005A6A83" w:rsidRDefault="005A6A83" w:rsidP="005A6A83">
            <w:pPr>
              <w:numPr>
                <w:ilvl w:val="0"/>
                <w:numId w:val="10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с указанием заводских серийных номеров и мест установки каждой единицы оборудования, а также материалы фотофиксации демонтированных приборов учета электрической энергии и вновь установленных ПУ ИСУ;</w:t>
            </w:r>
          </w:p>
          <w:p w14:paraId="76A944A1" w14:textId="77777777" w:rsidR="005A6A83" w:rsidRPr="005A6A83" w:rsidRDefault="005A6A83" w:rsidP="005A6A83">
            <w:pPr>
              <w:numPr>
                <w:ilvl w:val="0"/>
                <w:numId w:val="10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14:paraId="56BAC182" w14:textId="77777777" w:rsidR="005A6A83" w:rsidRPr="005A6A83" w:rsidRDefault="005A6A83" w:rsidP="005A6A83">
            <w:pPr>
              <w:numPr>
                <w:ilvl w:val="0"/>
                <w:numId w:val="10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59E7D27" w14:textId="77777777" w:rsidR="005A6A83" w:rsidRPr="005A6A83" w:rsidRDefault="005A6A83" w:rsidP="005A6A83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3C3434B5" w14:textId="77777777" w:rsidR="005A6A83" w:rsidRPr="005A6A83" w:rsidRDefault="005A6A83" w:rsidP="005A6A83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эксплуатационную документацию, сертификаты, технические условия, протоколы, инструкции;</w:t>
            </w:r>
          </w:p>
          <w:p w14:paraId="39D6E10A" w14:textId="77777777" w:rsidR="005A6A83" w:rsidRPr="005A6A83" w:rsidRDefault="005A6A83" w:rsidP="005A6A83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документы, удостоверяющие качество использованных Подрядчиком материалов и оборудования;</w:t>
            </w:r>
          </w:p>
          <w:p w14:paraId="03841BF2" w14:textId="77777777" w:rsidR="005A6A83" w:rsidRPr="005A6A83" w:rsidRDefault="005A6A83" w:rsidP="005A6A83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пофамильные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14:paraId="7E30C82F" w14:textId="77777777" w:rsidR="005A6A83" w:rsidRPr="005A6A83" w:rsidRDefault="005A6A83" w:rsidP="005A6A83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307CB8E6" w14:textId="77777777" w:rsidR="005A6A83" w:rsidRPr="005A6A83" w:rsidRDefault="005A6A83" w:rsidP="005A6A83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отсутствия тех. возможности, а также документы и материалы фотофиксации;</w:t>
            </w:r>
          </w:p>
          <w:p w14:paraId="3BCE12EA" w14:textId="77777777" w:rsidR="005A6A83" w:rsidRPr="005A6A83" w:rsidRDefault="005A6A83" w:rsidP="005A6A83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приема-передачи демонтированного оборудования потребителям;</w:t>
            </w:r>
          </w:p>
          <w:p w14:paraId="6BB88029" w14:textId="77777777" w:rsidR="005A6A83" w:rsidRPr="005A6A83" w:rsidRDefault="005A6A83" w:rsidP="005A6A83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скан-копии </w:t>
            </w: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5A6A83" w:rsidRPr="005A6A83" w14:paraId="28BAB2D8" w14:textId="77777777" w:rsidTr="009525B5">
        <w:tc>
          <w:tcPr>
            <w:tcW w:w="518" w:type="dxa"/>
            <w:hideMark/>
          </w:tcPr>
          <w:p w14:paraId="0E5BF5D2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14:paraId="78F23A53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7FB47577" w14:textId="77777777" w:rsidR="005A6A83" w:rsidRPr="005A6A83" w:rsidRDefault="005A6A83" w:rsidP="005A6A83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color w:val="000000" w:themeColor="text1"/>
                <w:sz w:val="20"/>
              </w:rPr>
            </w:pPr>
            <w:r w:rsidRPr="005A6A83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</w:rPr>
              <w:t xml:space="preserve">Сторонами Акта приемки выполненных работ (форма №КС-2) без замечаний. </w:t>
            </w:r>
            <w:r w:rsidRPr="005A6A83">
              <w:rPr>
                <w:rFonts w:ascii="Tahoma" w:eastAsia="Times New Roman" w:hAnsi="Tahoma" w:cs="Tahoma"/>
                <w:sz w:val="20"/>
              </w:rPr>
              <w:t xml:space="preserve">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</w:rPr>
              <w:t>менее 36 (тридцать шесть) месяцев с даты подписания Сторонами Акта приемки выполненных работ (форма №КС-2) без замечаний.</w:t>
            </w:r>
          </w:p>
          <w:p w14:paraId="490B450D" w14:textId="77777777" w:rsidR="005A6A83" w:rsidRPr="005A6A83" w:rsidRDefault="005A6A83" w:rsidP="005A6A83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A6A83">
              <w:rPr>
                <w:rFonts w:ascii="Tahoma" w:eastAsia="Times New Roman" w:hAnsi="Tahoma" w:cs="Tahoma"/>
                <w:sz w:val="20"/>
              </w:rPr>
              <w:t xml:space="preserve"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</w:t>
            </w:r>
            <w:r w:rsidRPr="005A6A83">
              <w:rPr>
                <w:rFonts w:ascii="Tahoma" w:eastAsia="Times New Roman" w:hAnsi="Tahoma" w:cs="Tahoma"/>
                <w:sz w:val="20"/>
              </w:rPr>
              <w:lastRenderedPageBreak/>
              <w:t>оборудования, либо возместить Заказчику затраты на их устранение.</w:t>
            </w:r>
          </w:p>
          <w:p w14:paraId="5064D013" w14:textId="77777777" w:rsidR="005A6A83" w:rsidRPr="005A6A83" w:rsidRDefault="005A6A83" w:rsidP="005A6A83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A6A83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468F4643" w14:textId="77777777" w:rsidR="005A6A83" w:rsidRPr="005A6A83" w:rsidRDefault="005A6A83" w:rsidP="005A6A83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A6A83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01875E9F" w14:textId="77777777" w:rsidR="005A6A83" w:rsidRPr="005A6A83" w:rsidRDefault="005A6A83" w:rsidP="005A6A83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A6A83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4145AAEA" w14:textId="77777777" w:rsidR="005A6A83" w:rsidRPr="005A6A83" w:rsidRDefault="005A6A83" w:rsidP="005A6A83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A6A83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A6A83" w:rsidRPr="005A6A83" w14:paraId="011E960D" w14:textId="77777777" w:rsidTr="009525B5">
        <w:tc>
          <w:tcPr>
            <w:tcW w:w="518" w:type="dxa"/>
          </w:tcPr>
          <w:p w14:paraId="1D6BD3A0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</w:tcPr>
          <w:p w14:paraId="4CA25BB8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контролер.</w:t>
            </w:r>
          </w:p>
        </w:tc>
        <w:tc>
          <w:tcPr>
            <w:tcW w:w="5796" w:type="dxa"/>
          </w:tcPr>
          <w:p w14:paraId="0BA57D56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контролер:</w:t>
            </w:r>
          </w:p>
          <w:p w14:paraId="66C5F766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14:paraId="53B0F5DF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46D5427B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7E6433AF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651FB9F5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0D2DCFBD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31873012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2A4BF509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пользоваться сканером для считывания штрихкода заводского номера ПУ, номера шлюза, номера ICCD Sim-карт.</w:t>
            </w:r>
          </w:p>
          <w:p w14:paraId="3F043396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1F3BC8C0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 Требования к устройствам:</w:t>
            </w:r>
          </w:p>
          <w:p w14:paraId="53913D9F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быть оснащено фотокамерой не ниже 8 МП со вспышкой, с возможностью чтения показаний ПУ зафиксированных на фотокамеру;</w:t>
            </w:r>
          </w:p>
          <w:p w14:paraId="05F5EEBB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Оперативная память объемом не менее 1 Гб и встроенная флэш-память объемом не менее 16 Гб;</w:t>
            </w:r>
          </w:p>
          <w:p w14:paraId="46D439F9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обеспечивать прием/передачу данных по каналам сотовой связи (LTE, HSPA+(3G), EDGE/GPRS/GSM, Wi-Fi, Bluetooth);</w:t>
            </w:r>
          </w:p>
          <w:p w14:paraId="56C0EE95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иметь встроенный приемник с поддержкой GPS/ГЛОНАСС;</w:t>
            </w:r>
          </w:p>
          <w:p w14:paraId="428D9DE6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относительно комфортно умещаться в руках;</w:t>
            </w:r>
          </w:p>
          <w:p w14:paraId="4DEF5D3E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 xml:space="preserve">- Пыле, влаго, удара защищенный корпус (Степень защиты IP67). Защита от электромагнитных волн;  </w:t>
            </w:r>
          </w:p>
          <w:p w14:paraId="72D8E172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Наличие дисплея, показывающего необходимую информацию по объекту и результаты измерений, разрешением не ниже 1280х720;</w:t>
            </w:r>
          </w:p>
          <w:p w14:paraId="054DCF06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Рабочая температура от -20 до +50 °С;</w:t>
            </w:r>
          </w:p>
          <w:p w14:paraId="150BCF5B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- Доступ в ПО предоставляется без взимания дополнительной платы, устройства (смартфон, планшет) приобретаются и используются Подрядчиком за свой счет.</w:t>
            </w:r>
          </w:p>
        </w:tc>
      </w:tr>
      <w:tr w:rsidR="005A6A83" w:rsidRPr="005A6A83" w14:paraId="4905E610" w14:textId="77777777" w:rsidTr="009525B5">
        <w:tc>
          <w:tcPr>
            <w:tcW w:w="518" w:type="dxa"/>
            <w:hideMark/>
          </w:tcPr>
          <w:p w14:paraId="0D6F28D9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04" w:type="dxa"/>
            <w:hideMark/>
          </w:tcPr>
          <w:p w14:paraId="7C7EC22E" w14:textId="77777777" w:rsidR="005A6A83" w:rsidRPr="005A6A83" w:rsidRDefault="005A6A83" w:rsidP="005A6A83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25EC50A4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14:paraId="75DE716D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14:paraId="71B2583B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sz w:val="20"/>
                <w:szCs w:val="20"/>
              </w:rPr>
              <w:t>3. Перечень товарно-материальных ценностей, передаваемых Заказчиком;</w:t>
            </w:r>
          </w:p>
          <w:p w14:paraId="61EFD687" w14:textId="77777777" w:rsidR="005A6A83" w:rsidRPr="005A6A83" w:rsidRDefault="005A6A83" w:rsidP="005A6A83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4.  ЗАЯВКА на предоставление доступа в систему «Мобильный Контролер».   </w:t>
            </w:r>
          </w:p>
        </w:tc>
      </w:tr>
    </w:tbl>
    <w:p w14:paraId="0257D8AC" w14:textId="77777777" w:rsidR="005A6A83" w:rsidRPr="005A6A83" w:rsidRDefault="005A6A83" w:rsidP="005A6A83">
      <w:pPr>
        <w:spacing w:after="200" w:line="276" w:lineRule="auto"/>
        <w:rPr>
          <w:rFonts w:eastAsia="Times New Roman" w:cs="Times New Roman"/>
        </w:rPr>
      </w:pPr>
    </w:p>
    <w:p w14:paraId="7F1FDE53" w14:textId="77777777" w:rsidR="005A6A83" w:rsidRPr="005A6A83" w:rsidRDefault="005A6A83" w:rsidP="005A6A83">
      <w:pPr>
        <w:rPr>
          <w:rFonts w:eastAsia="Times New Roman" w:cs="Times New Roman"/>
        </w:rPr>
      </w:pPr>
      <w:r w:rsidRPr="005A6A83">
        <w:rPr>
          <w:rFonts w:eastAsia="Times New Roman" w:cs="Times New Roman"/>
        </w:rPr>
        <w:br w:type="page"/>
      </w:r>
    </w:p>
    <w:p w14:paraId="04A11DEE" w14:textId="77777777" w:rsidR="005A6A83" w:rsidRPr="005A6A83" w:rsidRDefault="005A6A83" w:rsidP="005A6A83">
      <w:pPr>
        <w:spacing w:after="200" w:line="276" w:lineRule="auto"/>
        <w:rPr>
          <w:rFonts w:eastAsia="Times New Roman" w:cs="Times New Roman"/>
        </w:rPr>
      </w:pPr>
    </w:p>
    <w:p w14:paraId="3405DCBF" w14:textId="77777777" w:rsidR="005A6A83" w:rsidRPr="005A6A83" w:rsidRDefault="005A6A83" w:rsidP="005A6A83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5A6A83">
        <w:rPr>
          <w:rFonts w:ascii="Tahoma" w:eastAsia="Times New Roman" w:hAnsi="Tahoma" w:cs="Tahoma"/>
          <w:sz w:val="18"/>
          <w:szCs w:val="18"/>
          <w:lang w:eastAsia="ru-RU"/>
        </w:rPr>
        <w:t>Приложение №1</w:t>
      </w:r>
    </w:p>
    <w:p w14:paraId="5FF26872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A6A83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14:paraId="719DCE2E" w14:textId="77777777" w:rsidR="005A6A83" w:rsidRPr="005A6A83" w:rsidRDefault="005A6A83" w:rsidP="005A6A8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4DFBA2B6" w14:textId="77777777" w:rsidR="005A6A83" w:rsidRPr="005A6A83" w:rsidRDefault="005A6A83" w:rsidP="005A6A8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5A6A83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499DFE74" w14:textId="77777777" w:rsidR="005A6A83" w:rsidRPr="005A6A83" w:rsidRDefault="005A6A83" w:rsidP="005A6A83">
      <w:pPr>
        <w:spacing w:after="200" w:line="276" w:lineRule="auto"/>
        <w:rPr>
          <w:rFonts w:eastAsia="Times New Roman" w:cs="Times New Roman"/>
        </w:rPr>
      </w:pPr>
    </w:p>
    <w:tbl>
      <w:tblPr>
        <w:tblW w:w="96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2409"/>
        <w:gridCol w:w="992"/>
        <w:gridCol w:w="1276"/>
        <w:gridCol w:w="1168"/>
      </w:tblGrid>
      <w:tr w:rsidR="005A6A83" w:rsidRPr="005A6A83" w14:paraId="617B3AC7" w14:textId="77777777" w:rsidTr="009525B5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75EA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80AD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Этап выполнения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518C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6CDC" w14:textId="77777777" w:rsidR="005A6A83" w:rsidRPr="005A6A83" w:rsidRDefault="005A6A83" w:rsidP="005A6A83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9F749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06A50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5A6A83" w:rsidRPr="005A6A83" w14:paraId="7D5279F4" w14:textId="77777777" w:rsidTr="009525B5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DB94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169D3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07997E9B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14:paraId="269AA1F4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1543D679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окончание выполнения работ – не позднее «31» декабря 2025г.</w:t>
            </w:r>
          </w:p>
          <w:p w14:paraId="6687A8B6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</w:t>
            </w:r>
            <w:r w:rsidRPr="005A6A83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.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D603644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 w:themeColor="text1"/>
                <w:sz w:val="16"/>
                <w:szCs w:val="20"/>
              </w:rPr>
              <w:t>МКД находящиеся на территории Ивановской области в городах и населенных пунктах присутствия Ивановского филиала АО «ЭнергосбыТ Плюс»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EBAF9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7CE6E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7220F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13 476</w:t>
            </w:r>
          </w:p>
        </w:tc>
      </w:tr>
      <w:tr w:rsidR="005A6A83" w:rsidRPr="005A6A83" w14:paraId="7320D989" w14:textId="77777777" w:rsidTr="009525B5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840B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F8451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</w:tcPr>
          <w:p w14:paraId="56640DF6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87DD8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09B6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60F97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206</w:t>
            </w:r>
          </w:p>
        </w:tc>
      </w:tr>
      <w:tr w:rsidR="005A6A83" w:rsidRPr="005A6A83" w14:paraId="38EB299A" w14:textId="77777777" w:rsidTr="009525B5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5A20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C531D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noWrap/>
          </w:tcPr>
          <w:p w14:paraId="1A0D8968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D16A7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ABD2A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7CC7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176</w:t>
            </w:r>
          </w:p>
        </w:tc>
      </w:tr>
      <w:tr w:rsidR="005A6A83" w:rsidRPr="005A6A83" w14:paraId="56FDBA98" w14:textId="77777777" w:rsidTr="009525B5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B9E9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E5A1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DD1DFE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45E35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EF54A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4F027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426</w:t>
            </w:r>
          </w:p>
        </w:tc>
      </w:tr>
    </w:tbl>
    <w:p w14:paraId="5EEC3C6C" w14:textId="77777777" w:rsidR="005A6A83" w:rsidRPr="005A6A83" w:rsidRDefault="005A6A83" w:rsidP="005A6A83">
      <w:pPr>
        <w:spacing w:after="200" w:line="276" w:lineRule="auto"/>
        <w:rPr>
          <w:rFonts w:eastAsia="Times New Roman" w:cs="Times New Roman"/>
        </w:rPr>
      </w:pPr>
    </w:p>
    <w:p w14:paraId="27D6E7F5" w14:textId="77777777" w:rsidR="005A6A83" w:rsidRPr="005A6A83" w:rsidRDefault="005A6A83" w:rsidP="005A6A83">
      <w:pPr>
        <w:rPr>
          <w:rFonts w:eastAsia="Times New Roman" w:cs="Times New Roman"/>
        </w:rPr>
      </w:pPr>
      <w:r w:rsidRPr="005A6A83">
        <w:rPr>
          <w:rFonts w:eastAsia="Times New Roman" w:cs="Times New Roman"/>
        </w:rPr>
        <w:br w:type="page"/>
      </w:r>
    </w:p>
    <w:p w14:paraId="7A8D6AFB" w14:textId="77777777" w:rsidR="005A6A83" w:rsidRPr="005A6A83" w:rsidRDefault="005A6A83" w:rsidP="005A6A83">
      <w:pPr>
        <w:spacing w:after="200" w:line="276" w:lineRule="auto"/>
        <w:rPr>
          <w:rFonts w:eastAsia="Times New Roman" w:cs="Times New Roman"/>
        </w:rPr>
      </w:pPr>
    </w:p>
    <w:p w14:paraId="1E4E1C3E" w14:textId="77777777" w:rsidR="005A6A83" w:rsidRPr="005A6A83" w:rsidRDefault="005A6A83" w:rsidP="005A6A83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5A6A83">
        <w:rPr>
          <w:rFonts w:ascii="Tahoma" w:eastAsia="Times New Roman" w:hAnsi="Tahoma" w:cs="Tahoma"/>
          <w:sz w:val="18"/>
          <w:szCs w:val="18"/>
          <w:lang w:eastAsia="ru-RU"/>
        </w:rPr>
        <w:t>Приложение №2</w:t>
      </w:r>
    </w:p>
    <w:p w14:paraId="359E3025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A6A83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5A6A83" w:rsidRPr="005A6A83" w14:paraId="5C9371E8" w14:textId="77777777" w:rsidTr="009525B5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9C912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5A6A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5A6A83" w:rsidRPr="005A6A83" w14:paraId="0FB055AA" w14:textId="77777777" w:rsidTr="009525B5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85BE3B" w14:textId="77777777" w:rsidR="005A6A83" w:rsidRPr="005A6A83" w:rsidRDefault="005A6A83" w:rsidP="005A6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DF94F4" w14:textId="77777777" w:rsidR="005A6A83" w:rsidRPr="005A6A83" w:rsidRDefault="005A6A83" w:rsidP="005A6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624555" w14:textId="77777777" w:rsidR="005A6A83" w:rsidRPr="005A6A83" w:rsidRDefault="005A6A83" w:rsidP="005A6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0AAEEA" w14:textId="77777777" w:rsidR="005A6A83" w:rsidRPr="005A6A83" w:rsidRDefault="005A6A83" w:rsidP="005A6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E5031A" w14:textId="77777777" w:rsidR="005A6A83" w:rsidRPr="005A6A83" w:rsidRDefault="005A6A83" w:rsidP="005A6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B4C9DA" w14:textId="77777777" w:rsidR="005A6A83" w:rsidRPr="005A6A83" w:rsidRDefault="005A6A83" w:rsidP="005A6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A6A83" w:rsidRPr="005A6A83" w14:paraId="57DA43E0" w14:textId="77777777" w:rsidTr="009525B5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0757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CD8860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706A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6C6C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5A6A83" w:rsidRPr="005A6A83" w14:paraId="2AF6F6DB" w14:textId="77777777" w:rsidTr="009525B5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BDA4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FA318A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69CE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C241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5A6A83" w:rsidRPr="005A6A83" w14:paraId="579B0DC4" w14:textId="77777777" w:rsidTr="009525B5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68EEB9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5A6A83" w:rsidRPr="005A6A83" w14:paraId="55DA9C5E" w14:textId="77777777" w:rsidTr="009525B5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FAE2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849269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859B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85BD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134,76</w:t>
            </w:r>
          </w:p>
        </w:tc>
      </w:tr>
      <w:tr w:rsidR="005A6A83" w:rsidRPr="005A6A83" w14:paraId="2500A954" w14:textId="77777777" w:rsidTr="009525B5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B3F7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DDE13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2C87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A306D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13 476</w:t>
            </w:r>
          </w:p>
        </w:tc>
      </w:tr>
      <w:tr w:rsidR="005A6A83" w:rsidRPr="005A6A83" w14:paraId="59E60561" w14:textId="77777777" w:rsidTr="009525B5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6CCC4A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5A6A83" w:rsidRPr="005A6A83" w14:paraId="7045FB71" w14:textId="77777777" w:rsidTr="009525B5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338D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EB95D8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4F58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0AE92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2,06</w:t>
            </w:r>
          </w:p>
        </w:tc>
      </w:tr>
      <w:tr w:rsidR="005A6A83" w:rsidRPr="005A6A83" w14:paraId="68941B0E" w14:textId="77777777" w:rsidTr="009525B5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072D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3C1D30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C475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58676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206</w:t>
            </w:r>
          </w:p>
        </w:tc>
      </w:tr>
      <w:tr w:rsidR="005A6A83" w:rsidRPr="005A6A83" w14:paraId="45238055" w14:textId="77777777" w:rsidTr="009525B5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DEDF26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5A6A83" w:rsidRPr="005A6A83" w14:paraId="2D6F1869" w14:textId="77777777" w:rsidTr="009525B5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1A50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A15C4F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F163E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36AC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1,76</w:t>
            </w:r>
          </w:p>
        </w:tc>
      </w:tr>
      <w:tr w:rsidR="005A6A83" w:rsidRPr="005A6A83" w14:paraId="74675D2F" w14:textId="77777777" w:rsidTr="009525B5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4944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EF765E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A6A8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49F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E4C0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176</w:t>
            </w:r>
          </w:p>
        </w:tc>
      </w:tr>
      <w:tr w:rsidR="005A6A83" w:rsidRPr="005A6A83" w14:paraId="5F164CAF" w14:textId="77777777" w:rsidTr="009525B5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6EC032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7FD01C32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6DD6A8CA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6A83" w:rsidRPr="005A6A83" w14:paraId="16527926" w14:textId="77777777" w:rsidTr="009525B5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C6CA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3F1ED5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9723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F7AC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426</w:t>
            </w:r>
          </w:p>
        </w:tc>
      </w:tr>
    </w:tbl>
    <w:p w14:paraId="74FE5D6D" w14:textId="77777777" w:rsidR="005A6A83" w:rsidRPr="005A6A83" w:rsidRDefault="005A6A83" w:rsidP="005A6A83">
      <w:pPr>
        <w:spacing w:after="200" w:line="276" w:lineRule="auto"/>
        <w:rPr>
          <w:rFonts w:eastAsia="Times New Roman" w:cs="Times New Roman"/>
        </w:rPr>
      </w:pPr>
    </w:p>
    <w:p w14:paraId="5D530865" w14:textId="77777777" w:rsidR="005A6A83" w:rsidRPr="005A6A83" w:rsidRDefault="005A6A83" w:rsidP="005A6A83">
      <w:pPr>
        <w:rPr>
          <w:rFonts w:eastAsia="Times New Roman" w:cs="Times New Roman"/>
        </w:rPr>
      </w:pPr>
      <w:r w:rsidRPr="005A6A83">
        <w:rPr>
          <w:rFonts w:eastAsia="Times New Roman" w:cs="Times New Roman"/>
        </w:rPr>
        <w:br w:type="page"/>
      </w:r>
    </w:p>
    <w:p w14:paraId="5575F6D0" w14:textId="77777777" w:rsidR="005A6A83" w:rsidRPr="005A6A83" w:rsidRDefault="005A6A83" w:rsidP="005A6A83">
      <w:pPr>
        <w:spacing w:after="200" w:line="276" w:lineRule="auto"/>
        <w:rPr>
          <w:rFonts w:eastAsia="Times New Roman" w:cs="Times New Roman"/>
        </w:rPr>
      </w:pPr>
    </w:p>
    <w:p w14:paraId="298A6786" w14:textId="77777777" w:rsidR="005A6A83" w:rsidRPr="005A6A83" w:rsidRDefault="005A6A83" w:rsidP="005A6A83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5A6A83">
        <w:rPr>
          <w:rFonts w:ascii="Tahoma" w:eastAsia="Times New Roman" w:hAnsi="Tahoma" w:cs="Tahoma"/>
          <w:sz w:val="18"/>
          <w:szCs w:val="18"/>
          <w:lang w:eastAsia="ru-RU"/>
        </w:rPr>
        <w:t>Приложение №3</w:t>
      </w:r>
    </w:p>
    <w:p w14:paraId="3DB250FA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A6A83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14:paraId="7CD963BA" w14:textId="77777777" w:rsidR="005A6A83" w:rsidRPr="005A6A83" w:rsidRDefault="005A6A83" w:rsidP="005A6A83">
      <w:pPr>
        <w:spacing w:after="200" w:line="276" w:lineRule="auto"/>
        <w:rPr>
          <w:rFonts w:eastAsia="Times New Roman" w:cs="Times New Roman"/>
        </w:rPr>
      </w:pPr>
    </w:p>
    <w:p w14:paraId="3AD3DFC4" w14:textId="77777777" w:rsidR="005A6A83" w:rsidRPr="005A6A83" w:rsidRDefault="005A6A83" w:rsidP="005A6A83">
      <w:pPr>
        <w:spacing w:after="200" w:line="276" w:lineRule="auto"/>
        <w:jc w:val="center"/>
        <w:rPr>
          <w:rFonts w:ascii="Tahoma" w:eastAsia="Times New Roman" w:hAnsi="Tahoma" w:cs="Tahoma"/>
          <w:b/>
          <w:iCs/>
          <w:color w:val="FF0000"/>
          <w:sz w:val="20"/>
          <w:szCs w:val="20"/>
        </w:rPr>
      </w:pPr>
      <w:r w:rsidRPr="005A6A83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 xml:space="preserve">Перечень товарно-материальных ценностей, </w:t>
      </w:r>
      <w:r w:rsidRPr="005A6A83">
        <w:rPr>
          <w:rFonts w:ascii="Tahoma" w:eastAsia="Times New Roman" w:hAnsi="Tahoma" w:cs="Tahoma"/>
          <w:b/>
          <w:iCs/>
          <w:sz w:val="20"/>
          <w:szCs w:val="20"/>
        </w:rPr>
        <w:t>передаваемых Заказчиком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A6A83" w:rsidRPr="005A6A83" w14:paraId="5D476350" w14:textId="77777777" w:rsidTr="009525B5">
        <w:trPr>
          <w:jc w:val="center"/>
        </w:trPr>
        <w:tc>
          <w:tcPr>
            <w:tcW w:w="755" w:type="dxa"/>
            <w:vAlign w:val="center"/>
          </w:tcPr>
          <w:p w14:paraId="6D3C2C28" w14:textId="77777777" w:rsidR="005A6A83" w:rsidRPr="005A6A83" w:rsidRDefault="005A6A83" w:rsidP="005A6A83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3876DF16" w14:textId="77777777" w:rsidR="005A6A83" w:rsidRPr="005A6A83" w:rsidRDefault="005A6A83" w:rsidP="005A6A83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43591FD7" w14:textId="77777777" w:rsidR="005A6A83" w:rsidRPr="005A6A83" w:rsidRDefault="005A6A83" w:rsidP="005A6A83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Единица</w:t>
            </w:r>
          </w:p>
          <w:p w14:paraId="4D275492" w14:textId="77777777" w:rsidR="005A6A83" w:rsidRPr="005A6A83" w:rsidRDefault="005A6A83" w:rsidP="005A6A83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78E43A3B" w14:textId="77777777" w:rsidR="005A6A83" w:rsidRPr="005A6A83" w:rsidRDefault="005A6A83" w:rsidP="005A6A83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669AD76D" w14:textId="77777777" w:rsidR="005A6A83" w:rsidRPr="005A6A83" w:rsidRDefault="005A6A83" w:rsidP="005A6A83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Примечание</w:t>
            </w:r>
          </w:p>
        </w:tc>
      </w:tr>
      <w:tr w:rsidR="005A6A83" w:rsidRPr="005A6A83" w14:paraId="01161B25" w14:textId="77777777" w:rsidTr="009525B5">
        <w:trPr>
          <w:trHeight w:val="567"/>
          <w:jc w:val="center"/>
        </w:trPr>
        <w:tc>
          <w:tcPr>
            <w:tcW w:w="755" w:type="dxa"/>
            <w:vAlign w:val="center"/>
          </w:tcPr>
          <w:p w14:paraId="16B9D16D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71A40282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3C01331B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Однофазный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151272A5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7FC4E3A0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13 476</w:t>
            </w:r>
          </w:p>
        </w:tc>
        <w:tc>
          <w:tcPr>
            <w:tcW w:w="1579" w:type="dxa"/>
            <w:vAlign w:val="center"/>
          </w:tcPr>
          <w:p w14:paraId="3F5D8077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5A6A83" w:rsidRPr="005A6A83" w14:paraId="2F6BF1FF" w14:textId="77777777" w:rsidTr="009525B5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481BF99D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7443C517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66ECEC7A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A38FE88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678964B2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206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CE8F0D6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5A6A83" w:rsidRPr="005A6A83" w14:paraId="06D5874F" w14:textId="77777777" w:rsidTr="009525B5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5B2F9C93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4C96A48B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4A334CFA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D1CDC8D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4745DCDF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176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E373412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5A6A83" w:rsidRPr="005A6A83" w14:paraId="0F2C80FC" w14:textId="77777777" w:rsidTr="009525B5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48B4A356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4EAF893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Трансформаторы тока 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54F138A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55AD83CD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426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7CA6342C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5A6A83" w:rsidRPr="005A6A83" w14:paraId="1E9875BA" w14:textId="77777777" w:rsidTr="009525B5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95D06E8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40DED76F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FFB9F68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331F29B4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28 142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4D8FBED3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5A6A83" w:rsidRPr="005A6A83" w14:paraId="6E77F07A" w14:textId="77777777" w:rsidTr="009525B5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59E92893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60C67E98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Sim</w:t>
            </w: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9F37C57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4CF5D764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13 858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0E55039A" w14:textId="77777777" w:rsidR="005A6A83" w:rsidRPr="005A6A83" w:rsidRDefault="005A6A83" w:rsidP="005A6A83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A6A83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</w:tbl>
    <w:p w14:paraId="0A5167BE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0059B65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2275473" w14:textId="77777777" w:rsidR="005A6A83" w:rsidRPr="005A6A83" w:rsidRDefault="005A6A83" w:rsidP="005A6A83">
      <w:pP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A6A8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br w:type="page"/>
      </w:r>
    </w:p>
    <w:p w14:paraId="59DF82D6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EAB3B62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A12112B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6A83">
        <w:rPr>
          <w:rFonts w:ascii="Tahoma" w:eastAsia="Times New Roman" w:hAnsi="Tahoma" w:cs="Tahoma"/>
          <w:sz w:val="20"/>
          <w:szCs w:val="20"/>
          <w:lang w:eastAsia="ru-RU"/>
        </w:rPr>
        <w:t>Приложение №4</w:t>
      </w:r>
    </w:p>
    <w:p w14:paraId="62296E1E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6A83">
        <w:rPr>
          <w:rFonts w:ascii="Tahoma" w:eastAsia="Times New Roman" w:hAnsi="Tahoma" w:cs="Tahoma"/>
          <w:sz w:val="20"/>
          <w:szCs w:val="20"/>
          <w:lang w:eastAsia="ru-RU"/>
        </w:rPr>
        <w:t xml:space="preserve"> к Техническому заданию </w:t>
      </w:r>
    </w:p>
    <w:p w14:paraId="6A726A62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2682A9C" w14:textId="77777777" w:rsidR="005A6A83" w:rsidRPr="005A6A83" w:rsidRDefault="005A6A83" w:rsidP="005A6A83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A6A83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921"/>
        <w:gridCol w:w="5285"/>
      </w:tblGrid>
      <w:tr w:rsidR="005A6A83" w:rsidRPr="005A6A83" w14:paraId="3AB3081D" w14:textId="77777777" w:rsidTr="009525B5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789ED" w14:textId="512CC4C2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ЗАЯВКА на предоставление доступа в систему "Мобильный Контролер"   </w:t>
            </w:r>
            <w:r w:rsidRPr="005A6A83">
              <w:rPr>
                <w:rFonts w:ascii="Tahoma" w:eastAsia="Times New Roman" w:hAnsi="Tahoma" w:cs="Tahoma"/>
                <w:noProof/>
                <w:color w:val="000000"/>
                <w:szCs w:val="20"/>
                <w:lang w:eastAsia="ru-RU"/>
              </w:rPr>
              <w:drawing>
                <wp:inline distT="0" distB="0" distL="0" distR="0" wp14:anchorId="315AAF44" wp14:editId="5EE9FA1B">
                  <wp:extent cx="782955" cy="4038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6A83">
              <w:rPr>
                <w:rFonts w:ascii="Tahoma" w:eastAsia="Times New Roman" w:hAnsi="Tahoma" w:cs="Tahoma"/>
                <w:color w:val="000000"/>
                <w:szCs w:val="20"/>
              </w:rPr>
              <w:t xml:space="preserve">       </w:t>
            </w:r>
          </w:p>
        </w:tc>
      </w:tr>
      <w:tr w:rsidR="005A6A83" w:rsidRPr="005A6A83" w14:paraId="37DE1674" w14:textId="77777777" w:rsidTr="009525B5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B112A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5A6A83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5A6A83" w:rsidRPr="005A6A83" w14:paraId="30B54200" w14:textId="77777777" w:rsidTr="009525B5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041B2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5A6A83" w:rsidRPr="005A6A83" w14:paraId="5B1A37A5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1C8E7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503A9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A6A8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5A6A83" w:rsidRPr="005A6A83" w14:paraId="065ECEB6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9933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2EE59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5A6A83" w:rsidRPr="005A6A83" w14:paraId="6662584E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CD1B0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54846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5A6A83" w:rsidRPr="005A6A83" w14:paraId="3863B683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28EFC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453E8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5A6A83" w:rsidRPr="005A6A83" w14:paraId="4B8C35AA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D8126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08C88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A6A8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5A6A83" w:rsidRPr="005A6A83" w14:paraId="084D840C" w14:textId="77777777" w:rsidTr="009525B5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A920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C1FD2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226E7F04" w14:textId="77777777" w:rsidTr="009525B5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8226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0B1B6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2C3B4541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8583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DA9E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76F4A178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95A4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5BC46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6C56FFF4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62D8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3C1D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473F8ED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5A6A83" w:rsidRPr="005A6A83" w14:paraId="51382CB9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2288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7B503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25D63496" w14:textId="77777777" w:rsidTr="009525B5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89FFA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E33CF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249443F9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C34A9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D0CE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A6A8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5A6A83" w:rsidRPr="005A6A83" w14:paraId="3A5DB948" w14:textId="77777777" w:rsidTr="009525B5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6353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F4604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25A6EDCA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D0FB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2EE25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5A6A83" w:rsidRPr="005A6A83" w14:paraId="1545F9E0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2B0A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CB2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5A6A83" w:rsidRPr="005A6A83" w14:paraId="77C94821" w14:textId="77777777" w:rsidTr="009525B5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B91A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F328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0D5DC89A" w14:textId="77777777" w:rsidTr="009525B5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E10AE7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C35ED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5A6A83" w:rsidRPr="005A6A83" w14:paraId="150170EB" w14:textId="77777777" w:rsidTr="009525B5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6707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Ивановский филиал АО "ЭнергосбыТ Плюс"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E6264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5A6A83" w:rsidRPr="005A6A83" w14:paraId="7742268A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5B1FF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A808B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488F67EB" w14:textId="77777777" w:rsidTr="009525B5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CD785D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512974C2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27DEF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61250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5C149DD8" w14:textId="77777777" w:rsidTr="009525B5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0D52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8CA46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5A6A83" w:rsidRPr="005A6A83" w14:paraId="0C1717BD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84D13" w14:textId="77777777" w:rsidR="005A6A83" w:rsidRPr="005A6A83" w:rsidRDefault="005A6A83" w:rsidP="005A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19111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444C7E20" w14:textId="77777777" w:rsidTr="009525B5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669FA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5A6A83" w:rsidRPr="005A6A83" w14:paraId="4291F6D0" w14:textId="77777777" w:rsidTr="009525B5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F7774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67136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A6A83" w:rsidRPr="005A6A83" w14:paraId="17D9A748" w14:textId="77777777" w:rsidTr="009525B5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66D5D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____________________________________________________________Руководитель подрядной организации:</w:t>
            </w: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ab/>
            </w:r>
          </w:p>
          <w:p w14:paraId="158E86E4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                            ФИО                             Подпись</w:t>
            </w:r>
            <w:r w:rsidRPr="005A6A83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ab/>
            </w:r>
          </w:p>
        </w:tc>
      </w:tr>
      <w:tr w:rsidR="005A6A83" w:rsidRPr="005A6A83" w14:paraId="63C5539E" w14:textId="77777777" w:rsidTr="009525B5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0980" w:type="dxa"/>
              <w:tblLook w:val="04A0" w:firstRow="1" w:lastRow="0" w:firstColumn="1" w:lastColumn="0" w:noHBand="0" w:noVBand="1"/>
            </w:tblPr>
            <w:tblGrid>
              <w:gridCol w:w="10980"/>
            </w:tblGrid>
            <w:tr w:rsidR="005A6A83" w:rsidRPr="005A6A83" w14:paraId="737034C0" w14:textId="77777777" w:rsidTr="009525B5">
              <w:trPr>
                <w:trHeight w:val="300"/>
              </w:trPr>
              <w:tc>
                <w:tcPr>
                  <w:tcW w:w="10980" w:type="dxa"/>
                  <w:tcBorders>
                    <w:lef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F32F74" w14:textId="77777777" w:rsidR="005A6A83" w:rsidRPr="005A6A83" w:rsidRDefault="005A6A83" w:rsidP="005A6A83">
                  <w:pPr>
                    <w:framePr w:hSpace="180" w:wrap="around" w:vAnchor="text" w:hAnchor="margin" w:xAlign="center" w:y="128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u w:val="single"/>
                      <w:lang w:eastAsia="ru-RU"/>
                    </w:rPr>
                  </w:pPr>
                  <w:r w:rsidRPr="005A6A83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u w:val="single"/>
                      <w:lang w:eastAsia="ru-RU"/>
                    </w:rPr>
                    <w:t xml:space="preserve">_____________________________                                                    </w:t>
                  </w:r>
                  <w:r w:rsidRPr="005A6A83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Ответственное лицо Филиала:</w:t>
                  </w:r>
                </w:p>
              </w:tc>
            </w:tr>
            <w:tr w:rsidR="005A6A83" w:rsidRPr="005A6A83" w14:paraId="73521937" w14:textId="77777777" w:rsidTr="009525B5">
              <w:trPr>
                <w:trHeight w:val="300"/>
              </w:trPr>
              <w:tc>
                <w:tcPr>
                  <w:tcW w:w="10980" w:type="dxa"/>
                  <w:tcBorders>
                    <w:left w:val="single" w:sz="8" w:space="0" w:color="auto"/>
                  </w:tcBorders>
                  <w:noWrap/>
                  <w:vAlign w:val="center"/>
                  <w:hideMark/>
                </w:tcPr>
                <w:p w14:paraId="32A4B21F" w14:textId="77777777" w:rsidR="005A6A83" w:rsidRPr="005A6A83" w:rsidRDefault="005A6A83" w:rsidP="005A6A83">
                  <w:pPr>
                    <w:framePr w:hSpace="180" w:wrap="around" w:vAnchor="text" w:hAnchor="margin" w:xAlign="center" w:y="128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6A83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Должность                           ФИО                             Подпись</w:t>
                  </w:r>
                </w:p>
              </w:tc>
            </w:tr>
          </w:tbl>
          <w:p w14:paraId="2F9E3789" w14:textId="77777777" w:rsidR="005A6A83" w:rsidRPr="005A6A83" w:rsidRDefault="005A6A83" w:rsidP="005A6A8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5A6A83" w:rsidRPr="005A6A83" w14:paraId="12305251" w14:textId="77777777" w:rsidTr="009525B5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5ADDD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BCC7A" w14:textId="77777777" w:rsidR="005A6A83" w:rsidRPr="005A6A83" w:rsidRDefault="005A6A83" w:rsidP="005A6A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5A6A83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62D2B9C7" w14:textId="77777777" w:rsidR="005A6A83" w:rsidRPr="005A6A83" w:rsidRDefault="005A6A83" w:rsidP="005A6A83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A6A83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492DE4A7" w14:textId="77777777" w:rsidR="005A6A83" w:rsidRPr="005A6A83" w:rsidRDefault="005A6A83" w:rsidP="005A6A83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0A9C0F3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B5BDB6F" w14:textId="77777777" w:rsidR="005A6A83" w:rsidRPr="005A6A83" w:rsidRDefault="005A6A83" w:rsidP="005A6A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0215670" w14:textId="77777777" w:rsidR="00982B09" w:rsidRDefault="00982B09" w:rsidP="00982B09">
      <w:pPr>
        <w:jc w:val="right"/>
      </w:pPr>
      <w:bookmarkStart w:id="0" w:name="_GoBack"/>
      <w:bookmarkEnd w:id="0"/>
    </w:p>
    <w:sectPr w:rsidR="00982B09" w:rsidSect="003D4C93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AA6DE" w14:textId="77777777" w:rsidR="005A42D4" w:rsidRDefault="005A42D4" w:rsidP="002775CB">
      <w:pPr>
        <w:spacing w:after="0" w:line="240" w:lineRule="auto"/>
      </w:pPr>
      <w:r>
        <w:separator/>
      </w:r>
    </w:p>
  </w:endnote>
  <w:endnote w:type="continuationSeparator" w:id="0">
    <w:p w14:paraId="5436910B" w14:textId="77777777" w:rsidR="005A42D4" w:rsidRDefault="005A42D4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EAD92" w14:textId="77777777" w:rsidR="005A42D4" w:rsidRDefault="005A42D4" w:rsidP="002775CB">
      <w:pPr>
        <w:spacing w:after="0" w:line="240" w:lineRule="auto"/>
      </w:pPr>
      <w:r>
        <w:separator/>
      </w:r>
    </w:p>
  </w:footnote>
  <w:footnote w:type="continuationSeparator" w:id="0">
    <w:p w14:paraId="77E157ED" w14:textId="77777777" w:rsidR="005A42D4" w:rsidRDefault="005A42D4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56262D1"/>
    <w:multiLevelType w:val="multilevel"/>
    <w:tmpl w:val="BF92EE90"/>
    <w:lvl w:ilvl="0">
      <w:start w:val="4"/>
      <w:numFmt w:val="decimal"/>
      <w:lvlText w:val="%1."/>
      <w:lvlJc w:val="left"/>
      <w:pPr>
        <w:ind w:left="6024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cs="Times New Roman" w:hint="default"/>
      </w:rPr>
    </w:lvl>
  </w:abstractNum>
  <w:abstractNum w:abstractNumId="6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50F09"/>
    <w:rsid w:val="00097A6E"/>
    <w:rsid w:val="001752B5"/>
    <w:rsid w:val="001F6ADE"/>
    <w:rsid w:val="002775CB"/>
    <w:rsid w:val="00324254"/>
    <w:rsid w:val="0034084C"/>
    <w:rsid w:val="00363F81"/>
    <w:rsid w:val="003E6AD0"/>
    <w:rsid w:val="0041052E"/>
    <w:rsid w:val="004738FA"/>
    <w:rsid w:val="00586744"/>
    <w:rsid w:val="00592C2D"/>
    <w:rsid w:val="005A42D4"/>
    <w:rsid w:val="005A6A83"/>
    <w:rsid w:val="006D6296"/>
    <w:rsid w:val="0074192C"/>
    <w:rsid w:val="007A261D"/>
    <w:rsid w:val="007F041C"/>
    <w:rsid w:val="00842EFB"/>
    <w:rsid w:val="00893D56"/>
    <w:rsid w:val="00982B09"/>
    <w:rsid w:val="009B2F22"/>
    <w:rsid w:val="00A4120E"/>
    <w:rsid w:val="00AC2287"/>
    <w:rsid w:val="00AF7AAA"/>
    <w:rsid w:val="00C03844"/>
    <w:rsid w:val="00CA741A"/>
    <w:rsid w:val="00CC0EE4"/>
    <w:rsid w:val="00D373BA"/>
    <w:rsid w:val="00D71FA3"/>
    <w:rsid w:val="00DB11EC"/>
    <w:rsid w:val="00E23150"/>
    <w:rsid w:val="00E66AFE"/>
    <w:rsid w:val="00ED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771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CA741A"/>
  </w:style>
  <w:style w:type="character" w:styleId="a9">
    <w:name w:val="annotation reference"/>
    <w:basedOn w:val="a0"/>
    <w:uiPriority w:val="99"/>
    <w:semiHidden/>
    <w:unhideWhenUsed/>
    <w:rsid w:val="00050F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50F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50F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50F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50F0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50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0F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A6A83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5A6A8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21</Pages>
  <Words>6445</Words>
  <Characters>36738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Миколаенко Анатолий Николаевич</cp:lastModifiedBy>
  <cp:revision>25</cp:revision>
  <dcterms:created xsi:type="dcterms:W3CDTF">2021-02-15T09:58:00Z</dcterms:created>
  <dcterms:modified xsi:type="dcterms:W3CDTF">2025-11-26T10:53:00Z</dcterms:modified>
</cp:coreProperties>
</file>